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color w:val="ff0000"/>
          <w:sz w:val="28"/>
          <w:szCs w:val="28"/>
        </w:rPr>
      </w:pPr>
      <w:r w:rsidDel="00000000" w:rsidR="00000000" w:rsidRPr="00000000">
        <w:rPr>
          <w:color w:val="ff0000"/>
          <w:sz w:val="28"/>
          <w:szCs w:val="28"/>
          <w:rtl w:val="0"/>
        </w:rPr>
        <w:t xml:space="preserve">Elbow Structure Recognition From Ultrasound Video Using Deep Learning </w:t>
      </w:r>
    </w:p>
    <w:p w:rsidR="00000000" w:rsidDel="00000000" w:rsidP="00000000" w:rsidRDefault="00000000" w:rsidRPr="00000000" w14:paraId="00000002">
      <w:pPr>
        <w:jc w:val="center"/>
        <w:rPr>
          <w:sz w:val="24"/>
          <w:szCs w:val="24"/>
        </w:rPr>
      </w:pPr>
      <w:r w:rsidDel="00000000" w:rsidR="00000000" w:rsidRPr="00000000">
        <w:rPr>
          <w:rtl w:val="0"/>
        </w:rPr>
      </w:r>
    </w:p>
    <w:p w:rsidR="00000000" w:rsidDel="00000000" w:rsidP="00000000" w:rsidRDefault="00000000" w:rsidRPr="00000000" w14:paraId="00000003">
      <w:pPr>
        <w:jc w:val="center"/>
        <w:rPr>
          <w:color w:val="ff0000"/>
          <w:sz w:val="24"/>
          <w:szCs w:val="24"/>
        </w:rPr>
      </w:pPr>
      <w:r w:rsidDel="00000000" w:rsidR="00000000" w:rsidRPr="00000000">
        <w:rPr>
          <w:color w:val="ff0000"/>
          <w:sz w:val="24"/>
          <w:szCs w:val="24"/>
          <w:rtl w:val="0"/>
        </w:rPr>
        <w:t xml:space="preserve">Shizuka Akahori</w:t>
      </w:r>
    </w:p>
    <w:p w:rsidR="00000000" w:rsidDel="00000000" w:rsidP="00000000" w:rsidRDefault="00000000" w:rsidRPr="00000000" w14:paraId="00000004">
      <w:pPr>
        <w:jc w:val="center"/>
        <w:rPr>
          <w:color w:val="ff0000"/>
          <w:sz w:val="24"/>
          <w:szCs w:val="24"/>
        </w:rPr>
      </w:pPr>
      <w:r w:rsidDel="00000000" w:rsidR="00000000" w:rsidRPr="00000000">
        <w:rPr>
          <w:color w:val="ff0000"/>
          <w:sz w:val="24"/>
          <w:szCs w:val="24"/>
          <w:rtl w:val="0"/>
        </w:rPr>
        <w:t xml:space="preserve">University of Tsukuba</w:t>
      </w:r>
    </w:p>
    <w:p w:rsidR="00000000" w:rsidDel="00000000" w:rsidP="00000000" w:rsidRDefault="00000000" w:rsidRPr="00000000" w14:paraId="00000005">
      <w:pPr>
        <w:rPr>
          <w:color w:val="ff0000"/>
          <w:sz w:val="24"/>
          <w:szCs w:val="24"/>
        </w:rPr>
      </w:pPr>
      <w:r w:rsidDel="00000000" w:rsidR="00000000" w:rsidRPr="00000000">
        <w:rPr>
          <w:rtl w:val="0"/>
        </w:rPr>
      </w:r>
    </w:p>
    <w:p w:rsidR="00000000" w:rsidDel="00000000" w:rsidP="00000000" w:rsidRDefault="00000000" w:rsidRPr="00000000" w14:paraId="00000006">
      <w:pPr>
        <w:jc w:val="left"/>
        <w:rPr>
          <w:color w:val="ff0000"/>
        </w:rPr>
      </w:pPr>
      <w:r w:rsidDel="00000000" w:rsidR="00000000" w:rsidRPr="00000000">
        <w:rPr>
          <w:color w:val="ff0000"/>
          <w:rtl w:val="0"/>
        </w:rPr>
        <w:t xml:space="preserve">Main text (10.5pt)</w:t>
      </w:r>
    </w:p>
    <w:p w:rsidR="00000000" w:rsidDel="00000000" w:rsidP="00000000" w:rsidRDefault="00000000" w:rsidRPr="00000000" w14:paraId="0000000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Project Purpose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pPr>
      <w:r w:rsidDel="00000000" w:rsidR="00000000" w:rsidRPr="00000000">
        <w:rPr>
          <w:rtl w:val="0"/>
        </w:rPr>
        <w:t xml:space="preserve">In orthopedics, ultrasound video examinations are regularly performed to evaluate elbow structures such as bones and ligaments, especially for baseball players. Although ultrasound imaging is non-invasive and easy to perform, the images are often unclear due to noise and artifacts, and elbow structures vary greatly among individuals, making diagnosis difficult and time-consuming. This study aims to develop a diagnostic support system using deep learning for ultrasound images. Specifically, we investigate unsupervised anomaly detection of bone injuries, data augmentation using synthetic normal and abnormal ultrasound images, and automatic detection of anatomical structures from ultrasound video sequences. </w:t>
      </w:r>
    </w:p>
    <w:p w:rsidR="00000000" w:rsidDel="00000000" w:rsidP="00000000" w:rsidRDefault="00000000" w:rsidRPr="00000000" w14:paraId="0000000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Results </w:t>
      </w:r>
    </w:p>
    <w:p w:rsidR="00000000" w:rsidDel="00000000" w:rsidP="00000000" w:rsidRDefault="00000000" w:rsidRPr="00000000" w14:paraId="0000000A">
      <w:pPr>
        <w:numPr>
          <w:ilvl w:val="0"/>
          <w:numId w:val="1"/>
        </w:numPr>
        <w:ind w:left="720" w:hanging="360"/>
        <w:jc w:val="left"/>
        <w:rPr>
          <w:u w:val="none"/>
        </w:rPr>
      </w:pPr>
      <w:r w:rsidDel="00000000" w:rsidR="00000000" w:rsidRPr="00000000">
        <w:rPr>
          <w:rtl w:val="0"/>
        </w:rPr>
        <w:t xml:space="preserve">We Proposed a landmark detection method using Heatmap-based  Landmark Detection and Shape Subspace Refinement for ultrasound elbow images, enabling highly accurate measurement of elbow joint space distance. This work was accepted for publication in IEEE Access.</w:t>
      </w:r>
    </w:p>
    <w:p w:rsidR="00000000" w:rsidDel="00000000" w:rsidP="00000000" w:rsidRDefault="00000000" w:rsidRPr="00000000" w14:paraId="0000000B">
      <w:pPr>
        <w:numPr>
          <w:ilvl w:val="0"/>
          <w:numId w:val="1"/>
        </w:numPr>
        <w:ind w:left="720" w:hanging="360"/>
        <w:jc w:val="left"/>
        <w:rPr>
          <w:u w:val="none"/>
        </w:rPr>
      </w:pPr>
      <w:r w:rsidDel="00000000" w:rsidR="00000000" w:rsidRPr="00000000">
        <w:rPr>
          <w:rtl w:val="0"/>
        </w:rPr>
        <w:t xml:space="preserve">We proposed an anomaly detection method for detecting medial epicondyle avulsion in ultrasound elbow  images using training with only normal images. This work was accepted at the international conference Machine Vision Applications and received the Best Poster Award.</w:t>
      </w:r>
    </w:p>
    <w:p w:rsidR="00000000" w:rsidDel="00000000" w:rsidP="00000000" w:rsidRDefault="00000000" w:rsidRPr="00000000" w14:paraId="0000000C">
      <w:pPr>
        <w:numPr>
          <w:ilvl w:val="0"/>
          <w:numId w:val="1"/>
        </w:numPr>
        <w:ind w:left="720" w:hanging="360"/>
        <w:jc w:val="left"/>
        <w:rPr>
          <w:u w:val="none"/>
        </w:rPr>
      </w:pPr>
      <w:r w:rsidDel="00000000" w:rsidR="00000000" w:rsidRPr="00000000">
        <w:rPr>
          <w:rtl w:val="0"/>
        </w:rPr>
        <w:t xml:space="preserve">We explored ultrasound image generation methods,  using diffusion and its related methods.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Roles of the MCRP and its significance</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pPr>
      <w:r w:rsidDel="00000000" w:rsidR="00000000" w:rsidRPr="00000000">
        <w:rPr>
          <w:rtl w:val="0"/>
        </w:rPr>
        <w:t xml:space="preserve">MCRP supported the training and computation of deep learning models, as well as the execution of ablation studies. In addition, the use of MCRP significantly reduced the experimental and training time, enabling efficient large-scale experiments and accelerating the overall research process.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firstLine="0"/>
        <w:jc w:val="left"/>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Future plan</w:t>
      </w:r>
    </w:p>
    <w:p w:rsidR="00000000" w:rsidDel="00000000" w:rsidP="00000000" w:rsidRDefault="00000000" w:rsidRPr="00000000" w14:paraId="00000012">
      <w:pPr>
        <w:ind w:left="420" w:firstLine="0"/>
        <w:rPr/>
      </w:pPr>
      <w:r w:rsidDel="00000000" w:rsidR="00000000" w:rsidRPr="00000000">
        <w:rPr>
          <w:rtl w:val="0"/>
        </w:rPr>
        <w:t xml:space="preserve">We plan to improve the robustness of the landmark detection model through data augmentation using generative models, enabling stable performance on diverse clinical ultrasound images. </w:t>
      </w:r>
    </w:p>
    <w:p w:rsidR="00000000" w:rsidDel="00000000" w:rsidP="00000000" w:rsidRDefault="00000000" w:rsidRPr="00000000" w14:paraId="00000013">
      <w:pPr>
        <w:ind w:left="420" w:firstLine="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42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Publications and conference presentations</w:t>
      </w:r>
    </w:p>
    <w:p w:rsidR="00000000" w:rsidDel="00000000" w:rsidP="00000000" w:rsidRDefault="00000000" w:rsidRPr="00000000" w14:paraId="00000015">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4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Journal papers</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0" w:firstLine="0"/>
        <w:jc w:val="left"/>
        <w:rPr/>
      </w:pPr>
      <w:r w:rsidDel="00000000" w:rsidR="00000000" w:rsidRPr="00000000">
        <w:rPr>
          <w:rFonts w:ascii="游明朝" w:cs="游明朝" w:eastAsia="游明朝" w:hAnsi="游明朝"/>
          <w:rtl w:val="0"/>
        </w:rPr>
        <w:t xml:space="preserve">[1] </w:t>
      </w:r>
      <w:r w:rsidDel="00000000" w:rsidR="00000000" w:rsidRPr="00000000">
        <w:rPr>
          <w:rFonts w:ascii="游明朝" w:cs="游明朝" w:eastAsia="游明朝" w:hAnsi="游明朝"/>
          <w:b w:val="1"/>
          <w:bCs w:val="1"/>
          <w:u w:val="single"/>
          <w:rtl w:val="0"/>
        </w:rPr>
        <w:t xml:space="preserve">S. Akahori</w:t>
      </w:r>
      <w:r w:rsidDel="00000000" w:rsidR="00000000" w:rsidRPr="00000000">
        <w:rPr>
          <w:rFonts w:ascii="Cambria Math" w:cs="Cambria Math" w:eastAsia="Cambria Math" w:hAnsi="Cambria Math"/>
          <w:rtl w:val="0"/>
        </w:rPr>
        <w:t xml:space="preserve">, </w:t>
      </w:r>
      <w:r w:rsidDel="00000000" w:rsidR="00000000" w:rsidRPr="00000000">
        <w:rPr>
          <w:rFonts w:ascii="游明朝" w:cs="游明朝" w:eastAsia="游明朝" w:hAnsi="游明朝"/>
          <w:rtl w:val="0"/>
        </w:rPr>
        <w:t xml:space="preserve">S. Teruya, P. Shrestha, Y. Yoshii,  S. Iizuka, R. Michinobu, A. Ikumi, H. Tsuge, I. Kitahara, " Measurement of Medial Elbow Joint Space Using Landmark Detection”, </w:t>
      </w:r>
      <w:r w:rsidDel="00000000" w:rsidR="00000000" w:rsidRPr="00000000">
        <w:rPr>
          <w:rFonts w:ascii="游明朝" w:cs="游明朝" w:eastAsia="游明朝" w:hAnsi="游明朝"/>
          <w:i w:val="1"/>
          <w:iCs w:val="1"/>
          <w:rtl w:val="0"/>
        </w:rPr>
        <w:t xml:space="preserve">IEEE Access</w:t>
      </w:r>
      <w:r w:rsidDel="00000000" w:rsidR="00000000" w:rsidRPr="00000000">
        <w:rPr>
          <w:rFonts w:ascii="游明朝" w:cs="游明朝" w:eastAsia="游明朝" w:hAnsi="游明朝"/>
          <w:rtl w:val="0"/>
        </w:rPr>
        <w:t xml:space="preserve">, vol. 13, pp. 152365-152376, 2025, </w:t>
      </w:r>
      <w:r w:rsidDel="00000000" w:rsidR="00000000" w:rsidRPr="00000000">
        <w:rPr>
          <w:rFonts w:ascii="MS Mincho" w:cs="MS Mincho" w:eastAsia="MS Mincho" w:hAnsi="MS Mincho"/>
          <w:sz w:val="20"/>
          <w:szCs w:val="20"/>
          <w:rtl w:val="0"/>
        </w:rPr>
        <w:t xml:space="preserve">DOI: </w:t>
      </w:r>
      <w:hyperlink r:id="rId7">
        <w:r w:rsidDel="00000000" w:rsidR="00000000" w:rsidRPr="00000000">
          <w:rPr>
            <w:rFonts w:ascii="MS Mincho" w:cs="MS Mincho" w:eastAsia="MS Mincho" w:hAnsi="MS Mincho"/>
            <w:color w:val="467886"/>
            <w:sz w:val="20"/>
            <w:szCs w:val="20"/>
            <w:u w:val="single"/>
            <w:rtl w:val="0"/>
          </w:rPr>
          <w:t xml:space="preserve">10.1109/ACCESS.2025.3602503</w:t>
        </w:r>
      </w:hyperlink>
      <w:r w:rsidDel="00000000" w:rsidR="00000000" w:rsidRPr="00000000">
        <w:rPr>
          <w:rFonts w:ascii="游明朝" w:cs="游明朝" w:eastAsia="游明朝" w:hAnsi="游明朝"/>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4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Presentations</w:t>
      </w:r>
      <w:r w:rsidDel="00000000" w:rsidR="00000000" w:rsidRPr="00000000">
        <w:rPr>
          <w:rtl w:val="0"/>
        </w:rPr>
      </w:r>
    </w:p>
    <w:p w:rsidR="00000000" w:rsidDel="00000000" w:rsidP="00000000" w:rsidRDefault="00000000" w:rsidRPr="00000000" w14:paraId="00000018">
      <w:pPr>
        <w:ind w:left="840" w:firstLine="0"/>
        <w:rPr/>
      </w:pPr>
      <w:r w:rsidDel="00000000" w:rsidR="00000000" w:rsidRPr="00000000">
        <w:rPr>
          <w:rFonts w:ascii="游明朝" w:cs="游明朝" w:eastAsia="游明朝" w:hAnsi="游明朝"/>
          <w:rtl w:val="0"/>
        </w:rPr>
        <w:t xml:space="preserve">[1] </w:t>
      </w:r>
      <w:r w:rsidDel="00000000" w:rsidR="00000000" w:rsidRPr="00000000">
        <w:rPr>
          <w:rFonts w:ascii="游明朝" w:cs="游明朝" w:eastAsia="游明朝" w:hAnsi="游明朝"/>
          <w:b w:val="1"/>
          <w:bCs w:val="1"/>
          <w:u w:val="single"/>
          <w:rtl w:val="0"/>
        </w:rPr>
        <w:t xml:space="preserve">S. Akahori</w:t>
      </w:r>
      <w:r w:rsidDel="00000000" w:rsidR="00000000" w:rsidRPr="00000000">
        <w:rPr>
          <w:rFonts w:ascii="Cambria Math" w:cs="Cambria Math" w:eastAsia="Cambria Math" w:hAnsi="Cambria Math"/>
          <w:b w:val="1"/>
          <w:bCs w:val="1"/>
          <w:rtl w:val="0"/>
        </w:rPr>
        <w:t xml:space="preserve">,</w:t>
      </w:r>
      <w:r w:rsidDel="00000000" w:rsidR="00000000" w:rsidRPr="00000000">
        <w:rPr>
          <w:rFonts w:ascii="Cambria Math" w:cs="Cambria Math" w:eastAsia="Cambria Math" w:hAnsi="Cambria Math"/>
          <w:rtl w:val="0"/>
        </w:rPr>
        <w:t xml:space="preserve"> </w:t>
      </w:r>
      <w:r w:rsidDel="00000000" w:rsidR="00000000" w:rsidRPr="00000000">
        <w:rPr>
          <w:rFonts w:ascii="游明朝" w:cs="游明朝" w:eastAsia="游明朝" w:hAnsi="游明朝"/>
          <w:rtl w:val="0"/>
        </w:rPr>
        <w:t xml:space="preserve">S. Teruya, P. Shrestha, Y. Yoshii,  S. Iizuka, A. Ikumi, H. Tsuge, I. Kitahara, "Detection of Medial Epicondyle Avulsion in Elbow Ultrasound Images via Bone Structure Reconstruction," </w:t>
      </w:r>
      <w:r w:rsidDel="00000000" w:rsidR="00000000" w:rsidRPr="00000000">
        <w:rPr>
          <w:rFonts w:ascii="游明朝" w:cs="游明朝" w:eastAsia="游明朝" w:hAnsi="游明朝"/>
          <w:i w:val="1"/>
          <w:iCs w:val="1"/>
          <w:rtl w:val="0"/>
        </w:rPr>
        <w:t xml:space="preserve">2025 19th International Conference on Machine Vision and Applications (MVA)</w:t>
      </w:r>
      <w:r w:rsidDel="00000000" w:rsidR="00000000" w:rsidRPr="00000000">
        <w:rPr>
          <w:rFonts w:ascii="游明朝" w:cs="游明朝" w:eastAsia="游明朝" w:hAnsi="游明朝"/>
          <w:rtl w:val="0"/>
        </w:rPr>
        <w:t xml:space="preserve">, Kyoto, Japan, 2025, pp. 1-5, </w:t>
      </w:r>
      <w:r w:rsidDel="00000000" w:rsidR="00000000" w:rsidRPr="00000000">
        <w:rPr>
          <w:rFonts w:ascii="MS Mincho" w:cs="MS Mincho" w:eastAsia="MS Mincho" w:hAnsi="MS Mincho"/>
          <w:sz w:val="20"/>
          <w:szCs w:val="20"/>
          <w:rtl w:val="0"/>
        </w:rPr>
        <w:t xml:space="preserve">DOI: </w:t>
      </w:r>
      <w:hyperlink r:id="rId8">
        <w:r w:rsidDel="00000000" w:rsidR="00000000" w:rsidRPr="00000000">
          <w:rPr>
            <w:rFonts w:ascii="MS Mincho" w:cs="MS Mincho" w:eastAsia="MS Mincho" w:hAnsi="MS Mincho"/>
            <w:color w:val="467886"/>
            <w:sz w:val="20"/>
            <w:szCs w:val="20"/>
            <w:u w:val="single"/>
            <w:rtl w:val="0"/>
          </w:rPr>
          <w:t xml:space="preserve">10.48550/arXiv.2507.20104</w:t>
        </w:r>
      </w:hyperlink>
      <w:r w:rsidDel="00000000" w:rsidR="00000000" w:rsidRPr="00000000">
        <w:rPr>
          <w:rFonts w:ascii="游明朝" w:cs="游明朝" w:eastAsia="游明朝" w:hAnsi="游明朝"/>
          <w:rtl w:val="0"/>
        </w:rPr>
        <w:t xml:space="preserve">.</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2"/>
        </w:numPr>
        <w:pBdr>
          <w:top w:space="0" w:sz="0" w:val="nil"/>
          <w:left w:space="0" w:sz="0" w:val="nil"/>
          <w:bottom w:space="0" w:sz="0" w:val="nil"/>
          <w:right w:space="0" w:sz="0" w:val="nil"/>
          <w:between w:space="0" w:sz="0" w:val="nil"/>
        </w:pBdr>
        <w:shd w:fill="auto" w:val="clear"/>
        <w:spacing w:after="0" w:before="0" w:line="240" w:lineRule="auto"/>
        <w:ind w:left="840" w:right="0" w:hanging="42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Others</w:t>
      </w:r>
    </w:p>
    <w:p w:rsidR="00000000" w:rsidDel="00000000" w:rsidP="00000000" w:rsidRDefault="00000000" w:rsidRPr="00000000" w14:paraId="0000001A">
      <w:pPr>
        <w:ind w:left="840" w:firstLine="0"/>
        <w:rPr/>
      </w:pPr>
      <w:r w:rsidDel="00000000" w:rsidR="00000000" w:rsidRPr="00000000">
        <w:rPr>
          <w:rFonts w:ascii="MS Mincho" w:cs="MS Mincho" w:eastAsia="MS Mincho" w:hAnsi="MS Mincho"/>
          <w:sz w:val="20"/>
          <w:szCs w:val="20"/>
          <w:rtl w:val="0"/>
        </w:rPr>
        <w:t xml:space="preserve">Best Poster Award at Machine Vision Application (MVA) in 2025</w:t>
      </w:r>
      <w:r w:rsidDel="00000000" w:rsidR="00000000" w:rsidRPr="00000000">
        <w:rPr>
          <w:rtl w:val="0"/>
        </w:rPr>
      </w:r>
    </w:p>
    <w:p w:rsidR="00000000" w:rsidDel="00000000" w:rsidP="00000000" w:rsidRDefault="00000000" w:rsidRPr="00000000" w14:paraId="0000001B">
      <w:pPr>
        <w:jc w:val="left"/>
        <w:rPr/>
      </w:pPr>
      <w:r w:rsidDel="00000000" w:rsidR="00000000" w:rsidRPr="00000000">
        <w:rPr>
          <w:rtl w:val="0"/>
        </w:rPr>
      </w:r>
    </w:p>
    <w:tbl>
      <w:tblPr>
        <w:tblStyle w:val="Table1"/>
        <w:tblpPr w:leftFromText="142" w:rightFromText="142" w:topFromText="0" w:bottomFromText="0" w:vertAnchor="text" w:horzAnchor="text" w:tblpX="0" w:tblpY="1"/>
        <w:tblW w:w="85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64"/>
        <w:gridCol w:w="1310"/>
        <w:gridCol w:w="1296"/>
        <w:gridCol w:w="1590"/>
        <w:gridCol w:w="1464"/>
        <w:gridCol w:w="1465"/>
        <w:tblGridChange w:id="0">
          <w:tblGrid>
            <w:gridCol w:w="1464"/>
            <w:gridCol w:w="1310"/>
            <w:gridCol w:w="1296"/>
            <w:gridCol w:w="1590"/>
            <w:gridCol w:w="1464"/>
            <w:gridCol w:w="1465"/>
          </w:tblGrid>
        </w:tblGridChange>
      </w:tblGrid>
      <w:tr>
        <w:trPr>
          <w:cantSplit w:val="0"/>
          <w:trHeight w:val="295" w:hRule="atLeast"/>
          <w:tblHeader w:val="0"/>
        </w:trPr>
        <w:tc>
          <w:tcPr>
            <w:gridSpan w:val="2"/>
            <w:vMerge w:val="restart"/>
            <w:shd w:fill="d9d9d9" w:val="clear"/>
          </w:tcPr>
          <w:p w:rsidR="00000000" w:rsidDel="00000000" w:rsidP="00000000" w:rsidRDefault="00000000" w:rsidRPr="00000000" w14:paraId="0000001C">
            <w:pPr>
              <w:rPr/>
            </w:pPr>
            <w:r w:rsidDel="00000000" w:rsidR="00000000" w:rsidRPr="00000000">
              <w:rPr>
                <w:rtl w:val="0"/>
              </w:rPr>
              <w:t xml:space="preserve">Supercomputer</w:t>
            </w:r>
          </w:p>
        </w:tc>
        <w:tc>
          <w:tcPr>
            <w:vMerge w:val="restart"/>
            <w:shd w:fill="d9d9d9" w:val="clear"/>
          </w:tcPr>
          <w:p w:rsidR="00000000" w:rsidDel="00000000" w:rsidP="00000000" w:rsidRDefault="00000000" w:rsidRPr="00000000" w14:paraId="0000001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w:t>
            </w:r>
          </w:p>
        </w:tc>
        <w:tc>
          <w:tcPr>
            <w:gridSpan w:val="3"/>
            <w:shd w:fill="d9d9d9" w:val="clear"/>
          </w:tcPr>
          <w:p w:rsidR="00000000" w:rsidDel="00000000" w:rsidP="00000000" w:rsidRDefault="00000000" w:rsidRPr="00000000" w14:paraId="0000001F">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Allocated resources*</w:t>
            </w:r>
          </w:p>
        </w:tc>
      </w:tr>
      <w:tr>
        <w:trPr>
          <w:cantSplit w:val="0"/>
          <w:trHeight w:val="415" w:hRule="atLeast"/>
          <w:tblHeader w:val="0"/>
        </w:trPr>
        <w:tc>
          <w:tcPr>
            <w:gridSpan w:val="2"/>
            <w:vMerge w:val="continue"/>
            <w:shd w:fill="d9d9d9"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vMerge w:val="continue"/>
            <w:shd w:fill="d9d9d9" w:val="clear"/>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18"/>
                <w:szCs w:val="18"/>
              </w:rPr>
            </w:pPr>
            <w:r w:rsidDel="00000000" w:rsidR="00000000" w:rsidRPr="00000000">
              <w:rPr>
                <w:rtl w:val="0"/>
              </w:rPr>
            </w:r>
          </w:p>
        </w:tc>
        <w:tc>
          <w:tcPr>
            <w:shd w:fill="d9d9d9" w:val="clear"/>
          </w:tcPr>
          <w:p w:rsidR="00000000" w:rsidDel="00000000" w:rsidP="00000000" w:rsidRDefault="00000000" w:rsidRPr="00000000" w14:paraId="00000025">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Initial resources</w:t>
            </w:r>
          </w:p>
        </w:tc>
        <w:tc>
          <w:tcPr>
            <w:tcBorders>
              <w:bottom w:color="000000" w:space="0" w:sz="4" w:val="single"/>
            </w:tcBorders>
            <w:shd w:fill="d9d9d9" w:val="clear"/>
          </w:tcPr>
          <w:p w:rsidR="00000000" w:rsidDel="00000000" w:rsidP="00000000" w:rsidRDefault="00000000" w:rsidRPr="00000000" w14:paraId="00000026">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Transferred resources**</w:t>
            </w:r>
          </w:p>
        </w:tc>
        <w:tc>
          <w:tcPr>
            <w:shd w:fill="d9d9d9" w:val="clear"/>
          </w:tcPr>
          <w:p w:rsidR="00000000" w:rsidDel="00000000" w:rsidP="00000000" w:rsidRDefault="00000000" w:rsidRPr="00000000" w14:paraId="00000027">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color w:val="000000"/>
                <w:sz w:val="18"/>
                <w:szCs w:val="18"/>
                <w:rtl w:val="0"/>
              </w:rPr>
              <w:t xml:space="preserve">Purchased resources</w:t>
            </w:r>
            <w:r w:rsidDel="00000000" w:rsidR="00000000" w:rsidRPr="00000000">
              <w:rPr>
                <w:rtl w:val="0"/>
              </w:rPr>
            </w:r>
          </w:p>
        </w:tc>
      </w:tr>
      <w:tr>
        <w:trPr>
          <w:cantSplit w:val="0"/>
          <w:trHeight w:val="268" w:hRule="atLeast"/>
          <w:tblHeader w:val="0"/>
        </w:trPr>
        <w:tc>
          <w:tcPr>
            <w:gridSpan w:val="2"/>
          </w:tcPr>
          <w:p w:rsidR="00000000" w:rsidDel="00000000" w:rsidP="00000000" w:rsidRDefault="00000000" w:rsidRPr="00000000" w14:paraId="00000028">
            <w:pPr>
              <w:rPr/>
            </w:pPr>
            <w:r w:rsidDel="00000000" w:rsidR="00000000" w:rsidRPr="00000000">
              <w:rPr>
                <w:rtl w:val="0"/>
              </w:rPr>
              <w:t xml:space="preserve">Pegasus</w:t>
            </w:r>
          </w:p>
        </w:tc>
        <w:tc>
          <w:tcPr/>
          <w:p w:rsidR="00000000" w:rsidDel="00000000" w:rsidP="00000000" w:rsidRDefault="00000000" w:rsidRPr="00000000" w14:paraId="0000002A">
            <w:pPr>
              <w:rPr/>
            </w:pPr>
            <w:r w:rsidDel="00000000" w:rsidR="00000000" w:rsidRPr="00000000">
              <w:rPr>
                <w:rtl w:val="0"/>
              </w:rPr>
              <w:t xml:space="preserve">Yes/No</w:t>
            </w:r>
          </w:p>
        </w:tc>
        <w:tc>
          <w:tcPr/>
          <w:p w:rsidR="00000000" w:rsidDel="00000000" w:rsidP="00000000" w:rsidRDefault="00000000" w:rsidRPr="00000000" w14:paraId="0000002B">
            <w:pPr>
              <w:rPr/>
            </w:pPr>
            <w:r w:rsidDel="00000000" w:rsidR="00000000" w:rsidRPr="00000000">
              <w:rPr>
                <w:rFonts w:ascii="Arial" w:cs="Arial" w:eastAsia="Arial" w:hAnsi="Arial"/>
                <w:color w:val="555555"/>
                <w:sz w:val="20"/>
                <w:szCs w:val="20"/>
                <w:highlight w:val="white"/>
                <w:rtl w:val="0"/>
              </w:rPr>
              <w:t xml:space="preserve">1360</w:t>
            </w:r>
            <w:r w:rsidDel="00000000" w:rsidR="00000000" w:rsidRPr="00000000">
              <w:rPr>
                <w:rtl w:val="0"/>
              </w:rPr>
              <w:t xml:space="preserve"> </w:t>
            </w:r>
          </w:p>
        </w:tc>
        <w:tc>
          <w:tcPr>
            <w:tcBorders>
              <w:bottom w:color="000000" w:space="0" w:sz="4" w:val="single"/>
            </w:tcBorders>
          </w:tcPr>
          <w:p w:rsidR="00000000" w:rsidDel="00000000" w:rsidP="00000000" w:rsidRDefault="00000000" w:rsidRPr="00000000" w14:paraId="0000002C">
            <w:pPr>
              <w:rPr/>
            </w:pPr>
            <w:r w:rsidDel="00000000" w:rsidR="00000000" w:rsidRPr="00000000">
              <w:rPr>
                <w:rtl w:val="0"/>
              </w:rPr>
            </w:r>
          </w:p>
        </w:tc>
        <w:tc>
          <w:tcPr/>
          <w:p w:rsidR="00000000" w:rsidDel="00000000" w:rsidP="00000000" w:rsidRDefault="00000000" w:rsidRPr="00000000" w14:paraId="0000002D">
            <w:pPr>
              <w:rPr/>
            </w:pPr>
            <w:r w:rsidDel="00000000" w:rsidR="00000000" w:rsidRPr="00000000">
              <w:rPr>
                <w:rtl w:val="0"/>
              </w:rPr>
            </w:r>
          </w:p>
        </w:tc>
      </w:tr>
      <w:tr>
        <w:trPr>
          <w:cantSplit w:val="0"/>
          <w:trHeight w:val="303" w:hRule="atLeast"/>
          <w:tblHeader w:val="0"/>
        </w:trPr>
        <w:tc>
          <w:tcPr>
            <w:gridSpan w:val="2"/>
          </w:tcPr>
          <w:p w:rsidR="00000000" w:rsidDel="00000000" w:rsidP="00000000" w:rsidRDefault="00000000" w:rsidRPr="00000000" w14:paraId="0000002E">
            <w:pPr>
              <w:rPr/>
            </w:pPr>
            <w:r w:rsidDel="00000000" w:rsidR="00000000" w:rsidRPr="00000000">
              <w:rPr>
                <w:rtl w:val="0"/>
              </w:rPr>
              <w:t xml:space="preserve">Miyabi-G</w:t>
            </w:r>
          </w:p>
        </w:tc>
        <w:tc>
          <w:tcPr/>
          <w:p w:rsidR="00000000" w:rsidDel="00000000" w:rsidP="00000000" w:rsidRDefault="00000000" w:rsidRPr="00000000" w14:paraId="00000030">
            <w:pPr>
              <w:rPr/>
            </w:pPr>
            <w:r w:rsidDel="00000000" w:rsidR="00000000" w:rsidRPr="00000000">
              <w:rPr>
                <w:rtl w:val="0"/>
              </w:rPr>
              <w:t xml:space="preserve">Yes/No</w:t>
            </w:r>
          </w:p>
        </w:tc>
        <w:tc>
          <w:tcPr/>
          <w:p w:rsidR="00000000" w:rsidDel="00000000" w:rsidP="00000000" w:rsidRDefault="00000000" w:rsidRPr="00000000" w14:paraId="00000031">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32">
            <w:pPr>
              <w:rPr/>
            </w:pPr>
            <w:r w:rsidDel="00000000" w:rsidR="00000000" w:rsidRPr="00000000">
              <w:rPr>
                <w:rtl w:val="0"/>
              </w:rPr>
            </w:r>
          </w:p>
        </w:tc>
        <w:tc>
          <w:tcPr/>
          <w:p w:rsidR="00000000" w:rsidDel="00000000" w:rsidP="00000000" w:rsidRDefault="00000000" w:rsidRPr="00000000" w14:paraId="00000033">
            <w:pPr>
              <w:rPr/>
            </w:pPr>
            <w:r w:rsidDel="00000000" w:rsidR="00000000" w:rsidRPr="00000000">
              <w:rPr>
                <w:rtl w:val="0"/>
              </w:rPr>
            </w:r>
          </w:p>
        </w:tc>
      </w:tr>
      <w:tr>
        <w:trPr>
          <w:cantSplit w:val="0"/>
          <w:trHeight w:val="303" w:hRule="atLeast"/>
          <w:tblHeader w:val="0"/>
        </w:trPr>
        <w:tc>
          <w:tcPr>
            <w:gridSpan w:val="2"/>
          </w:tcPr>
          <w:p w:rsidR="00000000" w:rsidDel="00000000" w:rsidP="00000000" w:rsidRDefault="00000000" w:rsidRPr="00000000" w14:paraId="00000034">
            <w:pPr>
              <w:rPr/>
            </w:pPr>
            <w:r w:rsidDel="00000000" w:rsidR="00000000" w:rsidRPr="00000000">
              <w:rPr>
                <w:rtl w:val="0"/>
              </w:rPr>
              <w:t xml:space="preserve">Miyabi-C</w:t>
            </w:r>
          </w:p>
        </w:tc>
        <w:tc>
          <w:tcPr/>
          <w:p w:rsidR="00000000" w:rsidDel="00000000" w:rsidP="00000000" w:rsidRDefault="00000000" w:rsidRPr="00000000" w14:paraId="00000036">
            <w:pPr>
              <w:rPr/>
            </w:pPr>
            <w:r w:rsidDel="00000000" w:rsidR="00000000" w:rsidRPr="00000000">
              <w:rPr>
                <w:rtl w:val="0"/>
              </w:rPr>
              <w:t xml:space="preserve">Yes/No</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c>
          <w:tcPr/>
          <w:p w:rsidR="00000000" w:rsidDel="00000000" w:rsidP="00000000" w:rsidRDefault="00000000" w:rsidRPr="00000000" w14:paraId="00000039">
            <w:pPr>
              <w:rPr/>
            </w:pPr>
            <w:r w:rsidDel="00000000" w:rsidR="00000000" w:rsidRPr="00000000">
              <w:rPr>
                <w:rtl w:val="0"/>
              </w:rPr>
            </w:r>
          </w:p>
        </w:tc>
      </w:tr>
      <w:tr>
        <w:trPr>
          <w:cantSplit w:val="0"/>
          <w:trHeight w:val="321" w:hRule="atLeast"/>
          <w:tblHeader w:val="0"/>
        </w:trPr>
        <w:tc>
          <w:tcPr>
            <w:shd w:fill="f2f2f2" w:val="clear"/>
          </w:tcPr>
          <w:p w:rsidR="00000000" w:rsidDel="00000000" w:rsidP="00000000" w:rsidRDefault="00000000" w:rsidRPr="00000000" w14:paraId="0000003A">
            <w:pPr>
              <w:widowControl w:val="1"/>
              <w:jc w:val="left"/>
              <w:rPr>
                <w:sz w:val="18"/>
                <w:szCs w:val="18"/>
              </w:rPr>
            </w:pPr>
            <w:r w:rsidDel="00000000" w:rsidR="00000000" w:rsidRPr="00000000">
              <w:rPr>
                <w:rtl w:val="0"/>
              </w:rPr>
            </w:r>
          </w:p>
        </w:tc>
        <w:tc>
          <w:tcPr>
            <w:gridSpan w:val="5"/>
            <w:shd w:fill="f2f2f2" w:val="clear"/>
          </w:tcPr>
          <w:p w:rsidR="00000000" w:rsidDel="00000000" w:rsidP="00000000" w:rsidRDefault="00000000" w:rsidRPr="00000000" w14:paraId="0000003B">
            <w:pPr>
              <w:widowControl w:val="1"/>
              <w:jc w:val="left"/>
              <w:rPr>
                <w:sz w:val="18"/>
                <w:szCs w:val="18"/>
              </w:rPr>
            </w:pPr>
            <w:r w:rsidDel="00000000" w:rsidR="00000000" w:rsidRPr="00000000">
              <w:rPr>
                <w:sz w:val="18"/>
                <w:szCs w:val="18"/>
                <w:rtl w:val="0"/>
              </w:rPr>
              <w:t xml:space="preserve">*in units of node-hour product</w:t>
            </w:r>
          </w:p>
          <w:p w:rsidR="00000000" w:rsidDel="00000000" w:rsidP="00000000" w:rsidRDefault="00000000" w:rsidRPr="00000000" w14:paraId="0000003C">
            <w:pPr>
              <w:widowControl w:val="1"/>
              <w:jc w:val="left"/>
              <w:rPr>
                <w:sz w:val="18"/>
                <w:szCs w:val="18"/>
              </w:rPr>
            </w:pPr>
            <w:r w:rsidDel="00000000" w:rsidR="00000000" w:rsidRPr="00000000">
              <w:rPr>
                <w:sz w:val="18"/>
                <w:szCs w:val="18"/>
                <w:rtl w:val="0"/>
              </w:rPr>
              <w:t xml:space="preserve">** If the budget transfer was performed, fill in here, such as “</w:t>
            </w:r>
            <m:oMath>
              <m:r>
                <w:rPr>
                  <w:rFonts w:ascii="Cambria Math" w:cs="Cambria Math" w:eastAsia="Cambria Math" w:hAnsi="Cambria Math"/>
                  <w:sz w:val="18"/>
                  <w:szCs w:val="18"/>
                </w:rPr>
                <m:t xml:space="preserve">+2000</m:t>
              </m:r>
            </m:oMath>
            <w:r w:rsidDel="00000000" w:rsidR="00000000" w:rsidRPr="00000000">
              <w:rPr>
                <w:sz w:val="18"/>
                <w:szCs w:val="18"/>
                <w:rtl w:val="0"/>
              </w:rPr>
              <w:t xml:space="preserve">” and “</w:t>
            </w:r>
            <m:oMath>
              <m:r>
                <w:rPr>
                  <w:rFonts w:ascii="Cambria Math" w:cs="Cambria Math" w:eastAsia="Cambria Math" w:hAnsi="Cambria Math"/>
                  <w:sz w:val="18"/>
                  <w:szCs w:val="18"/>
                </w:rPr>
                <m:t xml:space="preserve">-1000</m:t>
              </m:r>
            </m:oMath>
            <w:r w:rsidDel="00000000" w:rsidR="00000000" w:rsidRPr="00000000">
              <w:rPr>
                <w:sz w:val="18"/>
                <w:szCs w:val="18"/>
                <w:rtl w:val="0"/>
              </w:rPr>
              <w:t xml:space="preserve">”.</w:t>
            </w:r>
          </w:p>
        </w:tc>
      </w:tr>
    </w:tbl>
    <w:p w:rsidR="00000000" w:rsidDel="00000000" w:rsidP="00000000" w:rsidRDefault="00000000" w:rsidRPr="00000000" w14:paraId="00000041">
      <w:pPr>
        <w:jc w:val="left"/>
        <w:rPr/>
      </w:pPr>
      <w:r w:rsidDel="00000000" w:rsidR="00000000" w:rsidRPr="00000000">
        <w:rPr>
          <w:rtl w:val="0"/>
        </w:rPr>
      </w:r>
    </w:p>
    <w:p w:rsidR="00000000" w:rsidDel="00000000" w:rsidP="00000000" w:rsidRDefault="00000000" w:rsidRPr="00000000" w14:paraId="00000042">
      <w:pPr>
        <w:jc w:val="left"/>
        <w:rPr/>
      </w:pPr>
      <w:r w:rsidDel="00000000" w:rsidR="00000000" w:rsidRPr="00000000">
        <w:rPr>
          <w:rtl w:val="0"/>
        </w:rPr>
      </w:r>
    </w:p>
    <w:p w:rsidR="00000000" w:rsidDel="00000000" w:rsidP="00000000" w:rsidRDefault="00000000" w:rsidRPr="00000000" w14:paraId="00000043">
      <w:pPr>
        <w:jc w:val="left"/>
        <w:rPr/>
      </w:pPr>
      <w:r w:rsidDel="00000000" w:rsidR="00000000" w:rsidRPr="00000000">
        <w:rPr>
          <w:rtl w:val="0"/>
        </w:rPr>
      </w:r>
    </w:p>
    <w:p w:rsidR="00000000" w:rsidDel="00000000" w:rsidP="00000000" w:rsidRDefault="00000000" w:rsidRPr="00000000" w14:paraId="00000044">
      <w:pPr>
        <w:jc w:val="left"/>
        <w:rPr>
          <w:color w:val="ff0000"/>
          <w:sz w:val="18"/>
          <w:szCs w:val="18"/>
        </w:rPr>
      </w:pPr>
      <w:r w:rsidDel="00000000" w:rsidR="00000000" w:rsidRPr="00000000">
        <w:rPr>
          <w:rtl w:val="0"/>
        </w:rPr>
      </w:r>
    </w:p>
    <w:p w:rsidR="00000000" w:rsidDel="00000000" w:rsidP="00000000" w:rsidRDefault="00000000" w:rsidRPr="00000000" w14:paraId="00000045">
      <w:pPr>
        <w:jc w:val="left"/>
        <w:rPr>
          <w:color w:val="ff0000"/>
          <w:sz w:val="18"/>
          <w:szCs w:val="18"/>
        </w:rPr>
      </w:pPr>
      <w:r w:rsidDel="00000000" w:rsidR="00000000" w:rsidRPr="00000000">
        <w:rPr>
          <w:color w:val="ff0000"/>
          <w:sz w:val="18"/>
          <w:szCs w:val="18"/>
          <w:rtl w:val="0"/>
        </w:rPr>
        <w:t xml:space="preserve">＝Note＝</w:t>
      </w:r>
    </w:p>
    <w:p w:rsidR="00000000" w:rsidDel="00000000" w:rsidP="00000000" w:rsidRDefault="00000000" w:rsidRPr="00000000" w14:paraId="00000046">
      <w:pPr>
        <w:jc w:val="left"/>
        <w:rPr>
          <w:color w:val="ff0000"/>
          <w:sz w:val="18"/>
          <w:szCs w:val="18"/>
        </w:rPr>
      </w:pPr>
      <w:r w:rsidDel="00000000" w:rsidR="00000000" w:rsidRPr="00000000">
        <w:rPr>
          <w:rFonts w:ascii="MS Mincho" w:cs="MS Mincho" w:eastAsia="MS Mincho" w:hAnsi="MS Mincho"/>
          <w:color w:val="ff0000"/>
          <w:sz w:val="18"/>
          <w:szCs w:val="18"/>
          <w:rtl w:val="0"/>
        </w:rPr>
        <w:t xml:space="preserve">※</w:t>
      </w:r>
      <w:r w:rsidDel="00000000" w:rsidR="00000000" w:rsidRPr="00000000">
        <w:rPr>
          <w:color w:val="ff0000"/>
          <w:sz w:val="18"/>
          <w:szCs w:val="18"/>
          <w:rtl w:val="0"/>
        </w:rPr>
        <w:t xml:space="preserve"> No strict page limit, but we recommend approximately 2 pages excluding the item 5.</w:t>
      </w:r>
    </w:p>
    <w:p w:rsidR="00000000" w:rsidDel="00000000" w:rsidP="00000000" w:rsidRDefault="00000000" w:rsidRPr="00000000" w14:paraId="00000047">
      <w:pPr>
        <w:jc w:val="left"/>
        <w:rPr>
          <w:color w:val="ff0000"/>
          <w:sz w:val="18"/>
          <w:szCs w:val="18"/>
        </w:rPr>
      </w:pPr>
      <w:r w:rsidDel="00000000" w:rsidR="00000000" w:rsidRPr="00000000">
        <w:rPr>
          <w:rFonts w:ascii="MS Mincho" w:cs="MS Mincho" w:eastAsia="MS Mincho" w:hAnsi="MS Mincho"/>
          <w:color w:val="ff0000"/>
          <w:sz w:val="18"/>
          <w:szCs w:val="18"/>
          <w:rtl w:val="0"/>
        </w:rPr>
        <w:t xml:space="preserve">※</w:t>
      </w:r>
      <w:r w:rsidDel="00000000" w:rsidR="00000000" w:rsidRPr="00000000">
        <w:rPr>
          <w:color w:val="ff0000"/>
          <w:sz w:val="18"/>
          <w:szCs w:val="18"/>
          <w:rtl w:val="0"/>
        </w:rPr>
        <w:t xml:space="preserve"> You can include charts/figures. Please observe the Copyright Act when quoting figures, etc.</w:t>
      </w:r>
    </w:p>
    <w:p w:rsidR="00000000" w:rsidDel="00000000" w:rsidP="00000000" w:rsidRDefault="00000000" w:rsidRPr="00000000" w14:paraId="00000048">
      <w:pPr>
        <w:jc w:val="left"/>
        <w:rPr>
          <w:color w:val="ff0000"/>
          <w:sz w:val="18"/>
          <w:szCs w:val="18"/>
        </w:rPr>
      </w:pPr>
      <w:r w:rsidDel="00000000" w:rsidR="00000000" w:rsidRPr="00000000">
        <w:rPr>
          <w:rFonts w:ascii="MS Mincho" w:cs="MS Mincho" w:eastAsia="MS Mincho" w:hAnsi="MS Mincho"/>
          <w:color w:val="ff0000"/>
          <w:sz w:val="18"/>
          <w:szCs w:val="18"/>
          <w:rtl w:val="0"/>
        </w:rPr>
        <w:t xml:space="preserve">※</w:t>
      </w:r>
      <w:r w:rsidDel="00000000" w:rsidR="00000000" w:rsidRPr="00000000">
        <w:rPr>
          <w:color w:val="ff0000"/>
          <w:sz w:val="18"/>
          <w:szCs w:val="18"/>
          <w:rtl w:val="0"/>
        </w:rPr>
        <w:t xml:space="preserve"> Submit a PDF file. Remove red letters and convert them to PDF. </w:t>
      </w:r>
    </w:p>
    <w:p w:rsidR="00000000" w:rsidDel="00000000" w:rsidP="00000000" w:rsidRDefault="00000000" w:rsidRPr="00000000" w14:paraId="00000049">
      <w:pPr>
        <w:jc w:val="left"/>
        <w:rPr>
          <w:color w:val="ff0000"/>
          <w:sz w:val="18"/>
          <w:szCs w:val="18"/>
        </w:rPr>
      </w:pPr>
      <w:r w:rsidDel="00000000" w:rsidR="00000000" w:rsidRPr="00000000">
        <w:rPr>
          <w:rFonts w:ascii="MS Mincho" w:cs="MS Mincho" w:eastAsia="MS Mincho" w:hAnsi="MS Mincho"/>
          <w:color w:val="ff0000"/>
          <w:sz w:val="18"/>
          <w:szCs w:val="18"/>
          <w:rtl w:val="0"/>
        </w:rPr>
        <w:t xml:space="preserve">※</w:t>
      </w:r>
      <w:r w:rsidDel="00000000" w:rsidR="00000000" w:rsidRPr="00000000">
        <w:rPr>
          <w:color w:val="ff0000"/>
          <w:sz w:val="18"/>
          <w:szCs w:val="18"/>
          <w:rtl w:val="0"/>
        </w:rPr>
        <w:t xml:space="preserve"> The submitted PDF will be open to public on the website. </w:t>
      </w:r>
    </w:p>
    <w:sectPr>
      <w:headerReference r:id="rId9" w:type="default"/>
      <w:pgSz w:h="16838" w:w="11906"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Times New Roman"/>
  <w:font w:name="Arial"/>
  <w:font w:name="Century"/>
  <w:font w:name="游明朝"/>
  <w:font w:name="Cambria Math">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1"/>
        <w:szCs w:val="21"/>
        <w:u w:val="none"/>
        <w:shd w:fill="auto" w:val="clear"/>
        <w:vertAlign w:val="baseline"/>
        <w:rtl w:val="0"/>
      </w:rPr>
      <w:t xml:space="preserve">The Center for Computational Sciences, University of Tsukuba MCRP-2025 report</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0" w:hanging="420"/>
      </w:pPr>
      <w:rPr/>
    </w:lvl>
    <w:lvl w:ilvl="1">
      <w:start w:val="1"/>
      <w:numFmt w:val="decimal"/>
      <w:lvlText w:val="(%2)"/>
      <w:lvlJc w:val="left"/>
      <w:pPr>
        <w:ind w:left="840" w:hanging="420"/>
      </w:pPr>
      <w:rPr/>
    </w:lvl>
    <w:lvl w:ilvl="2">
      <w:start w:val="1"/>
      <w:numFmt w:val="decimal"/>
      <w:lvlText w:val="%3"/>
      <w:lvlJc w:val="left"/>
      <w:pPr>
        <w:ind w:left="1260" w:hanging="420"/>
      </w:pPr>
      <w:rPr/>
    </w:lvl>
    <w:lvl w:ilvl="3">
      <w:start w:val="1"/>
      <w:numFmt w:val="decimal"/>
      <w:lvlText w:val="%4."/>
      <w:lvlJc w:val="left"/>
      <w:pPr>
        <w:ind w:left="1680" w:hanging="420"/>
      </w:pPr>
      <w:rPr/>
    </w:lvl>
    <w:lvl w:ilvl="4">
      <w:start w:val="1"/>
      <w:numFmt w:val="decimal"/>
      <w:lvlText w:val="(%5)"/>
      <w:lvlJc w:val="left"/>
      <w:pPr>
        <w:ind w:left="2100" w:hanging="420"/>
      </w:pPr>
      <w:rPr/>
    </w:lvl>
    <w:lvl w:ilvl="5">
      <w:start w:val="1"/>
      <w:numFmt w:val="decimal"/>
      <w:lvlText w:val="%6"/>
      <w:lvlJc w:val="left"/>
      <w:pPr>
        <w:ind w:left="2520" w:hanging="420"/>
      </w:pPr>
      <w:rPr/>
    </w:lvl>
    <w:lvl w:ilvl="6">
      <w:start w:val="1"/>
      <w:numFmt w:val="decimal"/>
      <w:lvlText w:val="%7."/>
      <w:lvlJc w:val="left"/>
      <w:pPr>
        <w:ind w:left="2940" w:hanging="420"/>
      </w:pPr>
      <w:rPr/>
    </w:lvl>
    <w:lvl w:ilvl="7">
      <w:start w:val="1"/>
      <w:numFmt w:val="decimal"/>
      <w:lvlText w:val="(%8)"/>
      <w:lvlJc w:val="left"/>
      <w:pPr>
        <w:ind w:left="3360" w:hanging="420"/>
      </w:pPr>
      <w:rPr/>
    </w:lvl>
    <w:lvl w:ilvl="8">
      <w:start w:val="1"/>
      <w:numFmt w:val="decimal"/>
      <w:lvlText w:val="%9"/>
      <w:lvlJc w:val="left"/>
      <w:pPr>
        <w:ind w:left="3780" w:hanging="42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dx.doi.org/10.1109/ACCESS.2025.3602503" TargetMode="External"/><Relationship Id="rId8" Type="http://schemas.openxmlformats.org/officeDocument/2006/relationships/hyperlink" Target="http://dx.doi.org/10.48550/arXiv.2507.2010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QBt6Pv7QzOgd+Ad50sDirWqkYg==">CgMxLjA4AHIhMXVtTGlCRTg4VGNEdC1wakMwVW1fbzk4TFh5eENCTFVO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